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31F20"/>
          <w:sz w:val="24"/>
          <w:szCs w:val="24"/>
        </w:rPr>
      </w:pPr>
      <w:r>
        <w:rPr>
          <w:rFonts w:ascii="Arial" w:hAnsi="Arial" w:cs="Arial"/>
          <w:b/>
          <w:color w:val="231F20"/>
          <w:sz w:val="24"/>
          <w:szCs w:val="24"/>
        </w:rPr>
        <w:t>Section 10(23C) – Educational Institution</w:t>
      </w:r>
    </w:p>
    <w:p w:rsid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In section 10 of the Income-tax Act, with effect from the 1st day of April, 2015,––</w:t>
      </w:r>
    </w:p>
    <w:p w:rsidR="00273B50" w:rsidRPr="00273B50" w:rsidRDefault="00273B50" w:rsidP="00273B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in 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23C</w:t>
      </w:r>
      <w:r w:rsidRPr="00273B50">
        <w:rPr>
          <w:rFonts w:ascii="Arial" w:hAnsi="Arial" w:cs="Arial"/>
          <w:color w:val="231F20"/>
          <w:sz w:val="24"/>
          <w:szCs w:val="24"/>
        </w:rPr>
        <w:t>),––</w:t>
      </w:r>
    </w:p>
    <w:p w:rsidR="00273B50" w:rsidRPr="00273B50" w:rsidRDefault="00273B50" w:rsidP="00273B5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</w:t>
      </w:r>
      <w:r w:rsidRPr="00273B50">
        <w:rPr>
          <w:rFonts w:ascii="Arial" w:hAnsi="Arial" w:cs="Arial"/>
          <w:color w:val="231F20"/>
          <w:sz w:val="24"/>
          <w:szCs w:val="24"/>
        </w:rPr>
        <w:t>) after sub-clause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iiiac</w:t>
      </w:r>
      <w:r w:rsidRPr="00273B50">
        <w:rPr>
          <w:rFonts w:ascii="Arial" w:hAnsi="Arial" w:cs="Arial"/>
          <w:color w:val="231F20"/>
          <w:sz w:val="24"/>
          <w:szCs w:val="24"/>
        </w:rPr>
        <w:t xml:space="preserve">), the following 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273B50">
        <w:rPr>
          <w:rFonts w:ascii="Arial" w:hAnsi="Arial" w:cs="Arial"/>
          <w:color w:val="231F20"/>
          <w:sz w:val="24"/>
          <w:szCs w:val="24"/>
        </w:rPr>
        <w:t>shall be inserted, namely:––</w:t>
      </w: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“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273B50">
        <w:rPr>
          <w:rFonts w:ascii="Arial" w:hAnsi="Arial" w:cs="Arial"/>
          <w:color w:val="231F20"/>
          <w:sz w:val="24"/>
          <w:szCs w:val="24"/>
        </w:rPr>
        <w:t>.––For the purposes of sub-clauses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iiiab</w:t>
      </w:r>
      <w:r w:rsidRPr="00273B50">
        <w:rPr>
          <w:rFonts w:ascii="Arial" w:hAnsi="Arial" w:cs="Arial"/>
          <w:color w:val="231F20"/>
          <w:sz w:val="24"/>
          <w:szCs w:val="24"/>
        </w:rPr>
        <w:t>) and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iiiac</w:t>
      </w:r>
      <w:r w:rsidRPr="00273B50">
        <w:rPr>
          <w:rFonts w:ascii="Arial" w:hAnsi="Arial" w:cs="Arial"/>
          <w:color w:val="231F20"/>
          <w:sz w:val="24"/>
          <w:szCs w:val="24"/>
        </w:rPr>
        <w:t>), any university or other</w:t>
      </w:r>
    </w:p>
    <w:p w:rsid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educational institution, hospital or other institution referred therein, shall be considered as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being substantially financed by the Government for any previous year, if the Government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grant to such university or other educational institution, hospital or other institution exceeds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such percentage of the total receipts including any voluntary contributions, as may be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prescribed, of such university or other educational institution, hospital or other institution, as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the case may be, during the relevant previous year.”;</w:t>
      </w: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color w:val="231F20"/>
          <w:sz w:val="24"/>
          <w:szCs w:val="24"/>
        </w:rPr>
        <w:t>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ii</w:t>
      </w:r>
      <w:r w:rsidRPr="00273B50">
        <w:rPr>
          <w:rFonts w:ascii="Arial" w:hAnsi="Arial" w:cs="Arial"/>
          <w:color w:val="231F20"/>
          <w:sz w:val="24"/>
          <w:szCs w:val="24"/>
        </w:rPr>
        <w:t xml:space="preserve">) after the seventeenth proviso, the following proviso and the 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273B50">
        <w:rPr>
          <w:rFonts w:ascii="Arial" w:hAnsi="Arial" w:cs="Arial"/>
          <w:color w:val="231F20"/>
          <w:sz w:val="24"/>
          <w:szCs w:val="24"/>
        </w:rPr>
        <w:t>shall be inserted,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namely:––</w:t>
      </w:r>
    </w:p>
    <w:p w:rsid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b/>
          <w:bCs/>
          <w:color w:val="231F20"/>
          <w:sz w:val="24"/>
          <w:szCs w:val="24"/>
        </w:rPr>
        <w:t>‘</w:t>
      </w:r>
      <w:r w:rsidRPr="00273B50">
        <w:rPr>
          <w:rFonts w:ascii="Arial" w:hAnsi="Arial" w:cs="Arial"/>
          <w:color w:val="231F20"/>
          <w:sz w:val="24"/>
          <w:szCs w:val="24"/>
        </w:rPr>
        <w:t>Provided also that where the fund or institution referred to in sub-clause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iv</w:t>
      </w:r>
      <w:r w:rsidRPr="00273B50">
        <w:rPr>
          <w:rFonts w:ascii="Arial" w:hAnsi="Arial" w:cs="Arial"/>
          <w:color w:val="231F20"/>
          <w:sz w:val="24"/>
          <w:szCs w:val="24"/>
        </w:rPr>
        <w:t>) or the trust or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institution referred to in sub-clause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v</w:t>
      </w:r>
      <w:r w:rsidRPr="00273B50">
        <w:rPr>
          <w:rFonts w:ascii="Arial" w:hAnsi="Arial" w:cs="Arial"/>
          <w:color w:val="231F20"/>
          <w:sz w:val="24"/>
          <w:szCs w:val="24"/>
        </w:rPr>
        <w:t>) has been notified by the Central Government or approved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by the prescribed authority, as the case may be, or any university or other educational institution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referred to in sub-clause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vi</w:t>
      </w:r>
      <w:r w:rsidRPr="00273B50">
        <w:rPr>
          <w:rFonts w:ascii="Arial" w:hAnsi="Arial" w:cs="Arial"/>
          <w:color w:val="231F20"/>
          <w:sz w:val="24"/>
          <w:szCs w:val="24"/>
        </w:rPr>
        <w:t>) or any hospital or other medical institution referred to in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sub-clause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via</w:t>
      </w:r>
      <w:r w:rsidRPr="00273B50">
        <w:rPr>
          <w:rFonts w:ascii="Arial" w:hAnsi="Arial" w:cs="Arial"/>
          <w:color w:val="231F20"/>
          <w:sz w:val="24"/>
          <w:szCs w:val="24"/>
        </w:rPr>
        <w:t>), has been approved by the prescribed authority, and the notification or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approval is in force for a</w:t>
      </w:r>
      <w:r>
        <w:rPr>
          <w:rFonts w:ascii="Arial" w:hAnsi="Arial" w:cs="Arial"/>
          <w:color w:val="231F20"/>
          <w:sz w:val="24"/>
          <w:szCs w:val="24"/>
        </w:rPr>
        <w:t xml:space="preserve">ny previous year, then, nothing </w:t>
      </w:r>
      <w:r w:rsidRPr="00273B50">
        <w:rPr>
          <w:rFonts w:ascii="Arial" w:hAnsi="Arial" w:cs="Arial"/>
          <w:color w:val="231F20"/>
          <w:sz w:val="24"/>
          <w:szCs w:val="24"/>
        </w:rPr>
        <w:t>contained in any other provision of this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section [other than clause (</w:t>
      </w: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1</w:t>
      </w:r>
      <w:r>
        <w:rPr>
          <w:rFonts w:ascii="Arial" w:hAnsi="Arial" w:cs="Arial"/>
          <w:color w:val="231F20"/>
          <w:sz w:val="24"/>
          <w:szCs w:val="24"/>
        </w:rPr>
        <w:t xml:space="preserve">) thereof] shall </w:t>
      </w:r>
      <w:r w:rsidRPr="00273B50">
        <w:rPr>
          <w:rFonts w:ascii="Arial" w:hAnsi="Arial" w:cs="Arial"/>
          <w:color w:val="231F20"/>
          <w:sz w:val="24"/>
          <w:szCs w:val="24"/>
        </w:rPr>
        <w:t>operate to exclude any income received on behalf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of such fund or trust or institution or university or other educational institution or hospital or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other medical institution, as the case may be, from the total income of the person in receipt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thereof for that previous year.</w:t>
      </w:r>
    </w:p>
    <w:p w:rsidR="00273B50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Pr="00273B50" w:rsidRDefault="00273B50" w:rsidP="00273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73B50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273B50">
        <w:rPr>
          <w:rFonts w:ascii="Arial" w:hAnsi="Arial" w:cs="Arial"/>
          <w:color w:val="231F20"/>
          <w:sz w:val="24"/>
          <w:szCs w:val="24"/>
        </w:rPr>
        <w:t>.––In this clause, where any inco</w:t>
      </w:r>
      <w:r>
        <w:rPr>
          <w:rFonts w:ascii="Arial" w:hAnsi="Arial" w:cs="Arial"/>
          <w:color w:val="231F20"/>
          <w:sz w:val="24"/>
          <w:szCs w:val="24"/>
        </w:rPr>
        <w:t xml:space="preserve">me is required to be applied or </w:t>
      </w:r>
      <w:r w:rsidRPr="00273B50">
        <w:rPr>
          <w:rFonts w:ascii="Arial" w:hAnsi="Arial" w:cs="Arial"/>
          <w:color w:val="231F20"/>
          <w:sz w:val="24"/>
          <w:szCs w:val="24"/>
        </w:rPr>
        <w:t>accumulated,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then, for such purpose the income shall be determined without any deduction or allowance by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way of depreciation or otherwise in respect of any asset, acquisition of which has been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73B50">
        <w:rPr>
          <w:rFonts w:ascii="Arial" w:hAnsi="Arial" w:cs="Arial"/>
          <w:color w:val="231F20"/>
          <w:sz w:val="24"/>
          <w:szCs w:val="24"/>
        </w:rPr>
        <w:t>claimed as an application of income under this clause in the same or any other previous year;’;</w:t>
      </w:r>
    </w:p>
    <w:sectPr w:rsidR="005015BD" w:rsidRPr="00273B50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F4CA6"/>
    <w:multiLevelType w:val="hybridMultilevel"/>
    <w:tmpl w:val="06E86242"/>
    <w:lvl w:ilvl="0" w:tplc="FC46C278">
      <w:start w:val="1"/>
      <w:numFmt w:val="lowerLetter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73B50"/>
    <w:rsid w:val="00273B50"/>
    <w:rsid w:val="0050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B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2014-07-16T06:15:00Z</dcterms:created>
  <dcterms:modified xsi:type="dcterms:W3CDTF">2014-07-16T06:18:00Z</dcterms:modified>
</cp:coreProperties>
</file>